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BB515" w14:textId="77777777" w:rsidR="00AF47B0" w:rsidRPr="003E2A4E" w:rsidRDefault="003E2A4E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SST 05 - </w:t>
      </w:r>
      <w:r w:rsidR="00AF47B0"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TYNKI ZWYKŁE WEWNĘTRZNE I ZEWNĘTRZNE</w:t>
      </w:r>
    </w:p>
    <w:p w14:paraId="288EE3B0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(Kod CPV 45410000-4)</w:t>
      </w:r>
    </w:p>
    <w:p w14:paraId="0CC19090" w14:textId="03BF5694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C81D5C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="00C97A9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 w:rsidR="00C97A91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02A6B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78D38B9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669E672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65E7705F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7ACED15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6B42C95B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3. WYMAGANIA DOTYCZĄCE SPRZĘTU, MASZYN I NARZĘDZI</w:t>
      </w:r>
    </w:p>
    <w:p w14:paraId="7C338989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6030591C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39D76941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17EDB38A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150D6F35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3F6FEEF7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</w:p>
    <w:p w14:paraId="442F41B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63F9B87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7E278286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4CC75D31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174F0D3A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4EBB172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7A750085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75A1F316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 CZĘŚĆ OGÓLNA</w:t>
      </w:r>
    </w:p>
    <w:p w14:paraId="6DEB3094" w14:textId="77777777" w:rsidR="00502A6B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1.1. Nazwa nadana zamówieniu przez zamawiającego</w:t>
      </w:r>
    </w:p>
    <w:p w14:paraId="27A4FF1D" w14:textId="0E9DDEDC" w:rsidR="00C81D5C" w:rsidRDefault="00C81D5C" w:rsidP="00C81D5C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81D5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417FC870" w14:textId="77777777" w:rsidR="00AF47B0" w:rsidRPr="003E2A4E" w:rsidRDefault="00AF47B0" w:rsidP="009E754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Przedmiot ST</w:t>
      </w:r>
    </w:p>
    <w:p w14:paraId="567FB3A1" w14:textId="48838BB4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Przedmiotem niniejszej standardowej specyfikacji technicznej (ST) są wymagania dotyczące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wykonania i odbioru tynków zwykłych wewnętrznych i zewnętrznych.</w:t>
      </w:r>
    </w:p>
    <w:p w14:paraId="7C1B0405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stosowania ST</w:t>
      </w:r>
    </w:p>
    <w:p w14:paraId="385B1DBF" w14:textId="1EF92DD2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Standardowa specyfikacja techniczna (ST) stanowi podstawę opracowania szczegółowej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specyfikacji technicznej (SST) stosowanej jako dokument przetargowy i kontraktowy przy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zlecaniu i realizacji robót wymienionych w pkt. 1.2.Odstępstwa od wymagań podanych w niniejszej specyfikacji mogą mieć miejsce tylko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przypadkach prostych robót o niewielkim znaczeniu, dla których istnieje pewność, że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podstawowe wymagania będą spełnione przy zastosowaniu metod wykonania wynikających z</w:t>
      </w:r>
    </w:p>
    <w:p w14:paraId="49934B48" w14:textId="68630C19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doświadczenia oraz uznanych reguł i zasad sztuki budowlanej oraz przy uwzględnieniu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przepisów bhp.</w:t>
      </w:r>
    </w:p>
    <w:p w14:paraId="32BBF5A7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Przedmiot i zakres robót objętych ST</w:t>
      </w:r>
    </w:p>
    <w:p w14:paraId="7BAE08DC" w14:textId="752D7C71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Specyfikacja dotyczy wykonania tynków zwykłych wewnętrznych i zewnętrznych w obiektach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kubaturowych i obejmuje wykonanie następujących czynności:</w:t>
      </w:r>
    </w:p>
    <w:p w14:paraId="5E96E538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przygotowanie podłoża (wg pkt. 5.3.),</w:t>
      </w:r>
    </w:p>
    <w:p w14:paraId="5DE47493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wykonanie warstwy wyrównawczej,</w:t>
      </w:r>
    </w:p>
    <w:p w14:paraId="20592670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wykonanie tynków zwykłych jedno- i wielowarstwowych.</w:t>
      </w:r>
    </w:p>
    <w:p w14:paraId="732B8FA2" w14:textId="6E2FCA73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Przedmiotem specyfikacji jest określenie wymagań odnośnie właściwości materiałów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wykorzystywanych do robót tynkarskich, wymagań w zakresie robót przygotowawczych oraz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wymagań dotyczących wykonania i odbiorów tynków zwykłych.</w:t>
      </w:r>
    </w:p>
    <w:p w14:paraId="693238C7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Określenia podstawowe, definicje</w:t>
      </w:r>
    </w:p>
    <w:p w14:paraId="4788CE35" w14:textId="5A41E8E3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Określenia podane w niniejszej Specyfikacji są zgodne z odpowiednimi normami oraz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określeniami podanymi w ST „Wymagania ogólne” Kod CPV 45000000-7, pkt 1.4,a także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podanymi poniżej:</w:t>
      </w:r>
    </w:p>
    <w:p w14:paraId="665BA94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Podłoże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– element budynku, na powierzchni którego wykonany ma być tynk.</w:t>
      </w:r>
    </w:p>
    <w:p w14:paraId="7697D6CC" w14:textId="54C906BE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Warstwa wyrównawcza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– warstwa wykonana w celu wyeliminowania nierówności 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powierzchni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podłoża.</w:t>
      </w:r>
    </w:p>
    <w:p w14:paraId="506F2E96" w14:textId="5C96F87E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Warstwa gruntująca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powłoka wzmacniająca i uszczelniająca podłoże oraz zwiększająca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przyczepność dolnej warstwy tynku.</w:t>
      </w:r>
    </w:p>
    <w:p w14:paraId="545B14E5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1.6. Ogólne wymagania dotyczące robót tynkarskich</w:t>
      </w:r>
    </w:p>
    <w:p w14:paraId="6D1E03D9" w14:textId="618DF284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dokumentacją projektową, specyfikacjami technicznymi i poleceniami Inspektora nadzoru.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Ogólne powszechnie stosowane wymagania dotyczące robót podano w ST „Wymagania ogólne”</w:t>
      </w:r>
    </w:p>
    <w:p w14:paraId="3386901F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Kod CPV 45000000-7, pkt. 1.5.</w:t>
      </w:r>
    </w:p>
    <w:p w14:paraId="4C53CB81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 WYMAGANIA DOTYCZĄCE WŁAŚCIWOŚCI MATERIAŁÓW</w:t>
      </w:r>
    </w:p>
    <w:p w14:paraId="7CBA7F88" w14:textId="40A3F56F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2.1. Ogólne wymagania dotyczące właściwości materiałów, ich pozyskiwania</w:t>
      </w:r>
      <w:r w:rsidR="005014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i składowania podano w ST „Wymagania ogólne” Kod CPV 45000000-7, pkt 2</w:t>
      </w:r>
    </w:p>
    <w:p w14:paraId="00698D8E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 Rodzaje materiałów</w:t>
      </w:r>
    </w:p>
    <w:p w14:paraId="758DD0E1" w14:textId="671BEDDA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Wszystkie materiały do wykonania robót tynkarskich powinny odpowiadać wymaganiom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zawartym w dokumentach odniesienia (normach, aprobatach technicznych).</w:t>
      </w:r>
    </w:p>
    <w:p w14:paraId="5C9336DB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2.2.1.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Woda</w:t>
      </w:r>
    </w:p>
    <w:p w14:paraId="5CE8ABB0" w14:textId="2EA54A63" w:rsidR="00AF47B0" w:rsidRPr="003E2A4E" w:rsidRDefault="00AF47B0" w:rsidP="009E754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lastRenderedPageBreak/>
        <w:t>Do przygotowania zapraw i skrapiania podłoża stosować można wodę odpowiadającą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wymaganiom normy PN-EN 1008:2004 „Woda zarobowa do betonu. Specyfikacja pobierania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próbek, badanie i ocena przydatności wody zarobowej do betonu, w tym wody odzyskanej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 procesów produkcji betonu”. Bez badań laboratoryjnych można stosować wodociągową wodę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pitną.</w:t>
      </w:r>
    </w:p>
    <w:p w14:paraId="1B238111" w14:textId="573CABDF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Niedozwolone jest użycie wód ściekowych, kanalizacyjnych, bagiennych oraz wód zawierających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tłuszcze organiczne, oleje i muł.</w:t>
      </w:r>
    </w:p>
    <w:p w14:paraId="3C1B3561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2.2.2.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Piasek</w:t>
      </w:r>
    </w:p>
    <w:p w14:paraId="55A2D6EA" w14:textId="38E6BD7F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Piasek powinien spełniać wymagania normy PN-EN 13139:2003 „Kruszywa do zapraw”,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a w szczególności:</w:t>
      </w:r>
    </w:p>
    <w:p w14:paraId="631BA5D9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nie zawierać domieszek organicznych,</w:t>
      </w:r>
    </w:p>
    <w:p w14:paraId="0E1AC8A1" w14:textId="3773B1F0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mieć frakcje różnych wymiarów, a mianowicie: piasek drobnoziarnisty 0,25-0,5 mm, piasek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średnioziarnisty 0,5-1,0 mm, piasek gruboziarnisty 1,0-2,0 mm.</w:t>
      </w:r>
    </w:p>
    <w:p w14:paraId="0156D01A" w14:textId="3BE5B4A4" w:rsidR="00AF47B0" w:rsidRPr="003E2A4E" w:rsidRDefault="00AF47B0" w:rsidP="009E7544">
      <w:pPr>
        <w:autoSpaceDE w:val="0"/>
        <w:autoSpaceDN w:val="0"/>
        <w:adjustRightInd w:val="0"/>
        <w:spacing w:after="0" w:line="240" w:lineRule="auto"/>
        <w:ind w:left="-567" w:right="-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Do spodnich warstw tynku należy stosować piasek gruboziarnisty odmiany 1, do warstw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wierzchnich – średnioziarnisty odmiany 2.</w:t>
      </w:r>
    </w:p>
    <w:p w14:paraId="3C35CF43" w14:textId="6D055FDB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Do gładzi piasek powinien być drobnoziarnisty i przechodzić całkowicie przez sito o prześwicie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0,5 mm.</w:t>
      </w:r>
    </w:p>
    <w:p w14:paraId="775D04E5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2.2.3.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Zaprawy budowlane do wykonania tynków zwykłych</w:t>
      </w:r>
    </w:p>
    <w:p w14:paraId="034DEDC5" w14:textId="4E8B67F3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• Marka i skład zaprawy powinny odpowiadać wymaganiom normy PN-90/B-14501 „Zaprawy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budowlane zwykłe” lub aprobatom technicznym (w specyfikacji szczegółowej należy uściślić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wymagania).</w:t>
      </w:r>
    </w:p>
    <w:p w14:paraId="5FA74AFF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• Przygotowanie zapraw do robót tynkarskich powinno być wykonywane mechanicznie.</w:t>
      </w:r>
    </w:p>
    <w:p w14:paraId="67204BCA" w14:textId="3EF7BC41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• Zaprawę należy przygotować w takiej ilości, aby mogła być wbudowana możliwie szybko po jej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przygotowaniu, tj. w okresie ok. 3 godzin.</w:t>
      </w:r>
    </w:p>
    <w:p w14:paraId="5D08730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• Do zaprawy tynkarskiej należy stosować piasek rzeczny lub kopalniany.</w:t>
      </w:r>
    </w:p>
    <w:p w14:paraId="165836C1" w14:textId="01E17232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• Do zaprawy cementowo-wapiennej należy stosować cement według normy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PN-EN 197-1:2002 „Cement – Część 1: Skład, wymagania i kryteria zgodności dotyczące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cementów powszechnego użytku”. Za zgodą Inspektora nadzoru można stosować cement 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dodatkiem żużla lub popiołów lotnych 25 i 35 oraz cement hutniczy 25 pod warunkiem, że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temperatura otoczenia w ciągu 7 dni od chwili wbudowania zaprawy nie będzie niższa niż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+5°C.</w:t>
      </w:r>
    </w:p>
    <w:p w14:paraId="391CB2EC" w14:textId="2C4E8433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• Do zapraw cementowo-wapiennych należy stosować wapno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suchogaszone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lub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gaszo-ne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postaci ciasta wapiennego otrzymanego z wapna niegaszonego, które powinno tworzyć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jednolitą i jednobarwną masę, bez grudek niegaszonego wapna i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zanieczysz-czeń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obcych.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Wapno powinno spełnia wymagania normy PN-EN-459. Skład objętościowych składników</w:t>
      </w:r>
    </w:p>
    <w:p w14:paraId="7A270609" w14:textId="380A00F4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zapraw należy dobierać doświadczalnie, w zależno-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ści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od wymaganej marki zaprawy oraz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rodzaju cementu i wapna.</w:t>
      </w:r>
    </w:p>
    <w:p w14:paraId="461F7ABC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2.3. Warunki przyjęcia na budowę materiałów i wyrobów do robót tynkarskich</w:t>
      </w:r>
    </w:p>
    <w:p w14:paraId="6121CE55" w14:textId="311C3FB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Materiały i wyroby do robót tynkarskich mogą być przyjęte na budowę, jeśli spełniają następujące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warunki:</w:t>
      </w:r>
    </w:p>
    <w:p w14:paraId="68F5906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są zgodne z ich wyszczególnieniem i charakterystyką podaną w dokumentacji projektowej i</w:t>
      </w:r>
    </w:p>
    <w:p w14:paraId="2FB0E2F5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specyfikacji technicznej (szczegółowej),</w:t>
      </w:r>
    </w:p>
    <w:p w14:paraId="7D753BB5" w14:textId="5A3729D8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są właściwie opakowane, firmowo zamknięte (bez oznak naruszenia zamknięć) i oznakowane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(pełna nazwa wyrobu, ewentualnie nazwa handlowa oraz symbol handlowy wyrobu),</w:t>
      </w:r>
    </w:p>
    <w:p w14:paraId="15808C90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spełniają wymagane właściwości wskazane odpowiednimi dokumentami odniesienia,</w:t>
      </w:r>
    </w:p>
    <w:p w14:paraId="1AEFDDB7" w14:textId="5880D951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producent dostarczył dokumenty świadczące o dopuszczeniu do obrotu i powszechnego lub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jednostkowego zastosowania wyrobów oraz karty techniczne (katalogowe) wyrobów lub</w:t>
      </w:r>
    </w:p>
    <w:p w14:paraId="7F19713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firmowe wytyczne (zalecenia) stosowania wyrobów,</w:t>
      </w:r>
    </w:p>
    <w:p w14:paraId="586CCB87" w14:textId="4C841CAD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spełniają wymagania wynikające z ich terminu przydatności do użycia (termin zakończenia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robót tynkarskich powinien się kończyć przed zakończeniem podanych na opakowaniach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terminów przydatności do stosowania odpowiednich wyrobów).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Przyjęcie materiałów i wyrobów na budowę powinno być potwierdzone wpisem do dziennika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budowy lub protokołem przyjęcia materiałów.</w:t>
      </w:r>
    </w:p>
    <w:p w14:paraId="60C8E929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2.4. Warunki przechowywania materiałów i wyrobów do robót tynkarskich</w:t>
      </w:r>
    </w:p>
    <w:p w14:paraId="0390E89B" w14:textId="45FF5F73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Materiały i wyroby do robót tynkarskich powinny być przechowywane i magazynowane zgodnie 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instrukcją producenta oraz wymaganiami odpowiednich dokumentów odniesienia tj. norm bądź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aprobat technicznych.</w:t>
      </w:r>
    </w:p>
    <w:p w14:paraId="03D13FED" w14:textId="78E32125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Pomieszczenie magazynowe do przechowywania materiałów i wyrobów opakowanych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powinno być kryte, suche oraz zabezpieczone przed zawilgoceniem, opadami atmosferycznymi,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przemarznięciem i przed działaniem promieni słonecznych.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Wyroby tynkarskie konfekcjonowane powinny być przechowywane w oryginalnych,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zamkniętych opakowaniach w temperaturze powyżej +5°C a poniżej +35°C. Wyroby pakowane 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worki powinny być układane na paletach lub drewnianej wentylowanej podłodze, w ilości warstw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nie większej niż 10.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Jeżeli nie ma możliwości poboru wody na miejscu wykonywania robót, to wodę należy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przechowywać w szczelnych i czystych pojemnikach lub cysternach. Nie wolno przechowywać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wody w opakowaniach po środkach chemicznych lub w takich, w których wcześniej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przetrzymywano materiały mogące zmienić skład chemiczny wody.</w:t>
      </w:r>
    </w:p>
    <w:p w14:paraId="0D8E1089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WYMAGANIA DOTYCZĄCE SPRZĘTU, MASZYN I NARZĘDZI</w:t>
      </w:r>
    </w:p>
    <w:p w14:paraId="5DD783F1" w14:textId="691C405C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3.1. Ogólne wymagania dotyczące sprzętu podano w ST „Wymagania ogólne” Kod CPV</w:t>
      </w:r>
      <w:r w:rsidR="005014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3</w:t>
      </w:r>
    </w:p>
    <w:p w14:paraId="2FED9D4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 Sprzęt do wykonywania tynków zwykłych</w:t>
      </w:r>
    </w:p>
    <w:p w14:paraId="79CD7BE7" w14:textId="28B6BC2B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Wykonawca jest zobowiązany do używania takiego sprzętu i narzędzi, które nie spowodują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niekorzystnego wpływu na jakość materiałów i wykonywanych robót oraz będą przyjazne dla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środowiska.</w:t>
      </w:r>
    </w:p>
    <w:p w14:paraId="24503A1E" w14:textId="711E2BD5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Przy doborze sprzętu i narzędzi należy uwzględnić również wymagania producenta.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 wykonywania robót tynkarskich należy stosować następujący sprzęt i narzędzia pomocnicze:</w:t>
      </w:r>
    </w:p>
    <w:p w14:paraId="3C11DCDA" w14:textId="6244BF24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a) do przygotowania podłoża – młotki, szczotki druciane, odkurzacze przemysłowe, urządzenia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 mycia hydrodynamicznego, urządzenia do czyszczenia strumieniowo-ściernego,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termometry elektroniczne, wilgotnościomierze elektryczne, przyrządy do badania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wytrzymałości podłoża,</w:t>
      </w:r>
    </w:p>
    <w:p w14:paraId="38DB828C" w14:textId="3D526DEA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b) do przygotowania zapraw – betoniarki, mieszarki do zapraw, przewoźne zbiorniki na wodę,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naczynia i wiertarki z mieszadłem wolnoobrotowym,</w:t>
      </w:r>
    </w:p>
    <w:p w14:paraId="582C06E8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c) do nakładania zaprawy – agregaty tynkarskie, pompy do zapraw, kielnie, pace.</w:t>
      </w:r>
    </w:p>
    <w:p w14:paraId="413839CA" w14:textId="68968F20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Uwaga: Ostatecznego doboru sprzętu wraz z określeniem jego parametrów należy dokonać w</w:t>
      </w:r>
      <w:r w:rsidR="005014D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i/>
          <w:iCs/>
          <w:color w:val="000000"/>
          <w:sz w:val="20"/>
          <w:szCs w:val="20"/>
        </w:rPr>
        <w:t>szczegółowej specyfikacji technicznej.</w:t>
      </w:r>
    </w:p>
    <w:p w14:paraId="250DC803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WYMAGANIA DOTYCZĄCE TRANSPORTU</w:t>
      </w:r>
    </w:p>
    <w:p w14:paraId="600FD673" w14:textId="0B15E21F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4.1. Ogólne wymagania dotyczące transportu podano w ST „Wymagania ogólne” Kod CPV</w:t>
      </w:r>
      <w:r w:rsidR="005014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4</w:t>
      </w:r>
    </w:p>
    <w:p w14:paraId="5AA2D7A9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4.2. Transport materiałów</w:t>
      </w:r>
    </w:p>
    <w:p w14:paraId="3AB92050" w14:textId="3F29D4A9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– Cement i wapno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suchogaszone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luzem należy przewozić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cemento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>-wozem, natomiast cement 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wapno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suchogaszone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workowane można przewozić dowolnymi środkami transportu i 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odpowiedni sposób zabezpieczone przed zawilgoceniem;</w:t>
      </w:r>
    </w:p>
    <w:p w14:paraId="47EE1061" w14:textId="25CB1E3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Wapno gaszone w postaci ciasta wapiennego można przewozić w skrzyniach lub pojemnikach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stalowych;</w:t>
      </w:r>
    </w:p>
    <w:p w14:paraId="2FC89F71" w14:textId="12C9E20A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Kruszywa można przewozić dowolnymi środkami transportu w warunkach zabezpieczających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je przed zanieczyszczeniem, zmieszaniem z innymi asortymentami kruszywa lub jego</w:t>
      </w:r>
    </w:p>
    <w:p w14:paraId="3E996DEB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frakcjami i nadmiernym zawilgoceniem.</w:t>
      </w:r>
    </w:p>
    <w:p w14:paraId="1F1AAF3C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WYMAGANIA DOTYCZĄCE WYKONANIA ROBÓT</w:t>
      </w:r>
    </w:p>
    <w:p w14:paraId="5A25C5F2" w14:textId="75B1F6A2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Ogólne zasady wykonania robót podano w ST „Wymagania ogólne” Kod CPV</w:t>
      </w:r>
      <w:r w:rsidR="005014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5</w:t>
      </w:r>
    </w:p>
    <w:p w14:paraId="7627BC3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 Warunki przystąpienia do robót</w:t>
      </w:r>
    </w:p>
    <w:p w14:paraId="386CDAA1" w14:textId="5D6087D5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Przed przystąpieniem do wykonywania robót tynkowych powinny być zakończone wszystkie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roboty stanu surowego, roboty instalacyjne podtynkowe, zamurowane prze-bicia i bruzdy,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osadzone ościeżnice drzwiowe i okienne.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Zaleca się przystąpienie do wykonywania tynków po okresie osiadania i skurczów murów tj. po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upływie 4-6 miesięcy po zakończeniu stanu surowego.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Tynki należy wykonywać w temperaturze nie niższej niż +5°C oraz pod warunkiem, że w ciągu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doby nie nastąpi spadek poniżej 0°C.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niższych temperaturach można wykonywać tynki jedynie przy zastosowaniu odpowiednich</w:t>
      </w:r>
    </w:p>
    <w:p w14:paraId="434CF85D" w14:textId="6ED4D173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środków zabezpieczających, zgodnie z „Wytycznymi wykonywania robót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budowlano-montażowych w okresie obniżonych temperatur”.</w:t>
      </w:r>
    </w:p>
    <w:p w14:paraId="361E40FA" w14:textId="77777777" w:rsidR="005014D4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i/>
          <w:iCs/>
          <w:color w:val="000000"/>
          <w:sz w:val="20"/>
          <w:szCs w:val="20"/>
        </w:rPr>
        <w:t>Uwaga: Jeżeli istnieje prawdopodobieństwo wykonywania tynków w obniżonych temperaturach,</w:t>
      </w:r>
      <w:r w:rsidR="005014D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i/>
          <w:iCs/>
          <w:color w:val="000000"/>
          <w:sz w:val="20"/>
          <w:szCs w:val="20"/>
        </w:rPr>
        <w:t>w szczegółowej specyfikacji technicznej należy podać niezbędne wymagania i warunki.</w:t>
      </w:r>
      <w:r w:rsidR="005014D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7C105C4A" w14:textId="6D73CF30" w:rsidR="00AF47B0" w:rsidRPr="005014D4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Zaleca się chronić świeżo wykonane tynki zewnętrzne w ciągu pierwszych dwóch dni przed</w:t>
      </w:r>
      <w:r w:rsidR="005014D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nasłonecznieniem dłuższym niż dwie godziny dziennie.</w:t>
      </w:r>
      <w:r w:rsidR="005014D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okresie wysokich temperatur świeżo wykonane tynki powinny być w czasie wiązania i</w:t>
      </w:r>
      <w:r w:rsidR="005014D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twardnienia, tj. w ciągu 1 tygodnia, zwilżane wodą.</w:t>
      </w:r>
    </w:p>
    <w:p w14:paraId="1AB17CCB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Przygotowanie podłoża</w:t>
      </w:r>
    </w:p>
    <w:p w14:paraId="260D3F9B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5.3.1.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Podłoża tynków zwykłych powinny odpowiadać wymaganiom normy PN-70/B-10100 p.</w:t>
      </w:r>
    </w:p>
    <w:p w14:paraId="766C13E3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5.3.2.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Spoiny w murach ceglanych</w:t>
      </w:r>
    </w:p>
    <w:p w14:paraId="63FD5B99" w14:textId="5222B215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W ścianach przewidzianych do tynkowania nie należy w czasie murowania ścian wypełniać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zaprawą spoin przy zewnętrznych licach na głębokości 5-10 mm.</w:t>
      </w:r>
    </w:p>
    <w:p w14:paraId="07830B2B" w14:textId="55790AF6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5.3.3.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Bezpośrednio przed tynkowaniem podłoże należy oczyścić z kurzu szczotkami oraz usunąć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plamy z rdzy i substancji tłustych. Plamy z substancji tłustych można usunąć 10-proc.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roztworem szarego mydła lub wypalając je lampą benzynową.</w:t>
      </w:r>
    </w:p>
    <w:p w14:paraId="49503448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5.3.4.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Nadmiernie suchą powierzchnię podłoża należy zwilżyć wodą.</w:t>
      </w:r>
    </w:p>
    <w:p w14:paraId="24F288D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 Wykonywanie tynków zwykłych</w:t>
      </w:r>
    </w:p>
    <w:p w14:paraId="15F023E4" w14:textId="4DE99EB5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5.4.1.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Sposoby wykonania tynków zwykłych jedno- i wielowarstwowych powinny być zgodne 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danymi określonymi w tabl. 4 normy PN-70/B-10100.</w:t>
      </w:r>
    </w:p>
    <w:p w14:paraId="389D8DD0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5.4.2.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Grubości tynków zwykłych w zależności od ich kategorii oraz od rodzaju podłoża lub</w:t>
      </w:r>
    </w:p>
    <w:p w14:paraId="0F562FF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podkładu powinny być zgodne z normą PN-70/B-10100.</w:t>
      </w:r>
    </w:p>
    <w:p w14:paraId="7B60C1D8" w14:textId="6FEE792C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5.4.3.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Tynki zwykłe kategorii II i III należą do odmian powszechnie stosowanych, wykonywanych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sposób standardowy.</w:t>
      </w:r>
    </w:p>
    <w:p w14:paraId="49F9747A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5.4.4.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Tynki zwykłe kategorii IV zalicza się do odmian doborowych.</w:t>
      </w:r>
    </w:p>
    <w:p w14:paraId="61F3CD49" w14:textId="10CA6DFB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5.4.5.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 trójwarstwowy powinien się składać z obrzutki, narzutu i gładzi. Narzut tynków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wewnętrznych należy wykonać według pasów i listew kierunkowych.</w:t>
      </w:r>
    </w:p>
    <w:p w14:paraId="70F823AF" w14:textId="691A658A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5.4.6.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Gładź należy nanosić po związaniu warstwy narzutu, lecz przed jej stwardnieniem. Podczas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zacierania warstwa gładzi powinna być mocno dociskana do warstwy na-rzutu.</w:t>
      </w:r>
    </w:p>
    <w:p w14:paraId="2C5295A6" w14:textId="5D5A8830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5.4.7.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 wykonania tynków należy stosować zaprawy cementowo-wapienne: tynków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nienarażonych na zawilgocenie – w proporcji 1:1:4; narażonych na zwilgocenie oraz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tynkach zewnętrznych – w proporcji 1:1:2.</w:t>
      </w:r>
    </w:p>
    <w:p w14:paraId="7743D85E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</w:t>
      </w:r>
    </w:p>
    <w:p w14:paraId="5C53A00B" w14:textId="04E02395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6.1. Ogólne zasady kontroli jakości robót podano w ST „Wymagania ogólne” Kod CPV</w:t>
      </w:r>
      <w:r w:rsidR="005014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6</w:t>
      </w:r>
    </w:p>
    <w:p w14:paraId="0F2FB3B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 Badania przed przystąpieniem do robót tynkowych</w:t>
      </w:r>
    </w:p>
    <w:p w14:paraId="027F7324" w14:textId="142498B5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Przed przystąpieniem do robót tynkowych należy przeprowadzić badania materiałów, które będą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wykorzystywane do wykonywania robót oraz kontrolę i odbiór (międzyoperacyjny) podłoży.</w:t>
      </w:r>
    </w:p>
    <w:p w14:paraId="6E70D9C8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6.2.1.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Badania materiałów</w:t>
      </w:r>
    </w:p>
    <w:p w14:paraId="7D400884" w14:textId="1DF7851F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Badanie materiałów przeprowadza się pośrednio na podstawie zapisów w dzienniku budowy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dotyczących przyjęcia materiałów na budowę oraz dokumentów towarzyszących wysyłce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materiałów przez dostawcę, potwierdzających zgodność użytych materiałów z wymaganiami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dokumentacji projektowej i niniejszej specyfikacji technicznej robót tynkowych, opracowanej dla</w:t>
      </w:r>
    </w:p>
    <w:p w14:paraId="683307C7" w14:textId="0627E5A4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realizowanego przedmiotu zamówienia (szczegółowej), oraz normami powołanymi w pkt. 2.2.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niniejszej specyfikacji technicznej.</w:t>
      </w:r>
    </w:p>
    <w:p w14:paraId="08BE467F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6.2.2.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Badania przygotowania podłoży</w:t>
      </w:r>
    </w:p>
    <w:p w14:paraId="06A32A84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Stan podłoża podlega sprawdzeniu w zakresie:</w:t>
      </w:r>
    </w:p>
    <w:p w14:paraId="4A1918D5" w14:textId="267BAC42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a) wilgotności – poprzez ocenę wyglądu, próbę dotyku lub zwilżania, ewentualnie w razie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potrzeby pomiar wilgotności szczątkowej przy pomocy wilgotnościomierza elektrycznego,</w:t>
      </w:r>
    </w:p>
    <w:p w14:paraId="3FDA761A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b) równości powierzchni – poprzez ocenę wyglądu i sprawdzenie przy pomocy łaty,</w:t>
      </w:r>
    </w:p>
    <w:p w14:paraId="3AF18B4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c) przywierających ciał obcych, kurzu i zabrudzenia – poprzez ocenę wyglądu i próbę ścierania,</w:t>
      </w:r>
    </w:p>
    <w:p w14:paraId="631BAA6E" w14:textId="27880728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d) obecności luźnych i zwietrzałych części podłoża – poprzez próbę drapania (skrobania) 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dotyku,</w:t>
      </w:r>
    </w:p>
    <w:p w14:paraId="64B42DBC" w14:textId="6B0D9B6D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lastRenderedPageBreak/>
        <w:t>e) zabrudzenia powierzchni olejami, smarami, bitumami, farbami – poprzez ocenę wyglądu 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próbę zwilżania,</w:t>
      </w:r>
    </w:p>
    <w:p w14:paraId="6F4B740A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f) chłonności podłoża – poprzez ocenę wyglądu oraz próbę dotyku i zwilżania,</w:t>
      </w:r>
    </w:p>
    <w:p w14:paraId="3CAF8F4E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g) obecność wykwitów – poprzez ocenę wyglądu,</w:t>
      </w:r>
    </w:p>
    <w:p w14:paraId="36197DED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h) złuszczania i powierzchniowego odspajania podłoża – poprzez ocenę wyglądu.</w:t>
      </w:r>
    </w:p>
    <w:p w14:paraId="3595311D" w14:textId="0A7B81A9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Wyniki badań powinny być porównane z wymaganiami podanymi w pkt. 5.3., a następnie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odnotowane w formie protokołu kontroli, wpisane do dziennika budowy i akceptowane przez</w:t>
      </w:r>
    </w:p>
    <w:p w14:paraId="3789F782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inspektora nadzoru.</w:t>
      </w:r>
    </w:p>
    <w:p w14:paraId="42E90520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 Badania w czasie robót</w:t>
      </w:r>
    </w:p>
    <w:p w14:paraId="61C51654" w14:textId="1E0B48DA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6.3.1.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Badania w czasie robót tynkowych polegają na bieżącym sprawdzeniu zgodności ich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wykonania z dokumentacją projektową oraz wymaganiami niniejszej specyfikacji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technicznej.</w:t>
      </w:r>
    </w:p>
    <w:p w14:paraId="2CB81CA1" w14:textId="678402B6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6.3.2.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Częstotliwość oraz zakres badań zaprawy wytwarzanej na placu budowy, a 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szczególności jej marki i konsystencji, powinny wynikać z normy PN-90/B-14501 „Zaprawy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budowlane zwykłe”.</w:t>
      </w:r>
    </w:p>
    <w:p w14:paraId="5E3AE016" w14:textId="27CEDA0E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6.3.3.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Wyniki badań materiałów i zapraw powinny być wpisywane do dziennika budowy 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akceptowane przez Inspektora nadzoru.</w:t>
      </w:r>
    </w:p>
    <w:p w14:paraId="13B3A441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 Badania w czasie odbioru robót</w:t>
      </w:r>
    </w:p>
    <w:p w14:paraId="6DB1198B" w14:textId="77777777" w:rsidR="00AF47B0" w:rsidRPr="003E2A4E" w:rsidRDefault="00AF47B0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6.4.1.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Zakres i warunki wykonywania badań</w:t>
      </w:r>
    </w:p>
    <w:p w14:paraId="7ED37328" w14:textId="45C8AB10" w:rsidR="008E76CD" w:rsidRPr="003E2A4E" w:rsidRDefault="00AF47B0" w:rsidP="005014D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Badania w czasie odbioru robót przeprowadza się celem oceny czy spełnione zostały wszystkie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wymagania dotyczące wykonanych robót tynkowych, w szczególności w zakresie</w:t>
      </w:r>
    </w:p>
    <w:p w14:paraId="3D11CD41" w14:textId="3932FA34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zgodności z dokumentacją projektową i specyfikacją techniczną (szczegółową) wraz 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wprowadzonymi zmianami naniesionymi w dokumentacji powykonawczej,</w:t>
      </w:r>
    </w:p>
    <w:p w14:paraId="6EFBF8B3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jakości zastosowanych materiałów i wyrobów,</w:t>
      </w:r>
    </w:p>
    <w:p w14:paraId="5380CCCF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prawidłowości przygotowania podłoża,</w:t>
      </w:r>
    </w:p>
    <w:p w14:paraId="0F3DFCB1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prawidłowości wykonania tynków zwykłych.</w:t>
      </w:r>
    </w:p>
    <w:p w14:paraId="384FD742" w14:textId="070B969F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Przy badaniach w czasie odbioru robót należy wykorzystywać wyniki badań dokonanych przed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przystąpieniem do robót i w trakcie ich wykonywania oraz zapisy w dzienniku budowy dotyczące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wykonanych robót.</w:t>
      </w:r>
    </w:p>
    <w:p w14:paraId="61AE7534" w14:textId="37E1436F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Badania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 badań odbiorowych należy przystąpić nie później niż przed upływem 1 roku od daty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ukończenia robót tynkowych.</w:t>
      </w:r>
    </w:p>
    <w:p w14:paraId="644BD56A" w14:textId="7A0E9E7A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Badania w czasie odbioru tynków zwykłych wewnętrznych i zewnętrznych przeprowadzać należy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podczas bezdeszczowej pogody, w temperaturze powietrza nie niższej niż +5°C.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Przed przystąpieniem do badań przy odbiorze należy sprawdzić na podstawie dokumentów:</w:t>
      </w:r>
    </w:p>
    <w:p w14:paraId="77F8572E" w14:textId="47752C13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a) czy załączone wyniki badań dokonanych przed przystąpieniem do robót potwierdzają, że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przygotowane podłoża nadawały się do położenia tynku a użyte materiały spełniały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wymagania pkt. 2 niniejszej ST,</w:t>
      </w:r>
    </w:p>
    <w:p w14:paraId="5548AA7B" w14:textId="32437D89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b) czy w okresie wykonywania tynku zwykłego temperatura otoczenia w ciągu doby nie spadła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poniżej 0°C.</w:t>
      </w:r>
    </w:p>
    <w:p w14:paraId="5FC12485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6.4.2.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Opis badań</w:t>
      </w:r>
    </w:p>
    <w:p w14:paraId="0FA2FB7B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6.4.2.1.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Sprawdzenie przyczepności tynku do podłoża należy przeprowadzać metodą podaną w</w:t>
      </w:r>
    </w:p>
    <w:p w14:paraId="720DD693" w14:textId="77A017F6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PN-85/B-04500. Jako badania orientacyjne dopuszcza się stosowanie opukiwania tynku lekkim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drewnianym młotkiem (brak głuchego odgłosu świadczy o dobrej przyczepności).</w:t>
      </w:r>
    </w:p>
    <w:p w14:paraId="79C2161D" w14:textId="567625A3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Przyczepność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międzywarstwową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tynków wielowarstwowych należy sprawdzić za pomocą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przyrządu zwanego młotkiem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Baronnie’go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metodą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kwadracikowania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>, tj. próba krzyżowego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nacinania wyprawy i poddania jej uderzeniom stempla o ciężarze 250 gramów przy badaniu po 7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dniach od wykonania tynków, a co najmniej 500 gramów – po 28 dniach. Brak wypadania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kwadracików pod uderzeniem świadczy o dostatecznej przyczepności.</w:t>
      </w:r>
    </w:p>
    <w:p w14:paraId="4F727610" w14:textId="3682AAE8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6.4.2.2.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Sprawdzenie odporności tynków na uszkodzenia mechaniczne należy przeprowadzać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młotkiem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Baronnie’go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metodą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kwadracikowania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 jak w pkt. 6.4.2.1. niniejszej ST.</w:t>
      </w:r>
    </w:p>
    <w:p w14:paraId="21E3605D" w14:textId="2584071A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6.4.2.3.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Sprawdzenie mrozoodporności tynków zewnętrznych należy przeprowadzać na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podstawie świadectwa badania wg PN-85/B-04500 odporności na działanie mrozu próbek</w:t>
      </w:r>
    </w:p>
    <w:p w14:paraId="2AF49A31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stwardniałej zaprawy.</w:t>
      </w:r>
    </w:p>
    <w:p w14:paraId="39EE753C" w14:textId="56A7250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6.4.2.4.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Sprawdzenie grubości tynków. W pięciu dowolnie wybranych miejscach powierzchni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otynkowanej wynoszącej nie więcej niż 5000 m2 należy wyciąć próbki kontrolne o wymiarach 2x2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cm lub o średnicy około 3 cm w taki sposób, aby podłoże zostało odsłonięte lecz nie naruszone.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Odsłonięte podłoże należy oczyścić z ewentualnych pozostałości zaprawy. Pomiar grubości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tynku powinien być wykonany przymiarem z dokładnością do 1 mm. Za przeciętną grubość tynku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badanej powierzchni otynkowanej należy przyjmować wartość średnią pomiaru w pięciu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otworach.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przypadku badania tynku o powierzchni większej niż 5000 m2 należy na każde rozpoczęte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1000 m2 wyciąć jeden dodatkowy otwór.</w:t>
      </w:r>
    </w:p>
    <w:p w14:paraId="14374056" w14:textId="4E05A78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6.4.2.5.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Sprawdzenie wyglądu i innych właściwości powierzchni otynkowanych. Wygląd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powierzchni otynkowanych (barwa, obecność wykwitów, spękań itp.) należy sprawdzić za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pomocą oględzin zewnętrznych. Gładkość powierzchni oraz brak pylenia należy sprawdzać przez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potarcie tynku dłonią.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Odporność powierzchni otynkowanych na działanie opadów atmosferycznych lub rozmywanie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podczas renowacyjnych robót malarskich należy sprawdzać w sposób następujący:</w:t>
      </w:r>
    </w:p>
    <w:p w14:paraId="10F4A5FD" w14:textId="13D144E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powierzchnię tynku należy zwilżyć wodą za pomocą pędzla ławkowca i natychmiast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przeprowadzić próbę odporności na uderzenia metodą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kwadracikowania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>, stosując uderzenie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stempla o ciężarze 250 gramów; próba ta powinna dać wynik dodatni (brak wypadania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kwadracików).</w:t>
      </w:r>
    </w:p>
    <w:p w14:paraId="4219CE83" w14:textId="6F198F26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6.4.2.6.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Sprawdzenie prawidłowości wykonania powierzchni i krawędzi tynków należy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przeprowadzić wg PN-70/B-10100.</w:t>
      </w:r>
    </w:p>
    <w:p w14:paraId="101EE7C6" w14:textId="3585DC92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6.4.2.7.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Sprawdzenie wykończenia tynków na narożach i obrzeżach, stykach i przy szczelinach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dylatacyjnych należy przeprowadzić wzrokowo oraz przez pomiar równocześnie z badaniem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wyglądu powierzchni otynkowanych wg pkt. 6.4.2.5. niniejszej ST.</w:t>
      </w:r>
    </w:p>
    <w:p w14:paraId="0CAE5FFD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WYMAGANIA DOTYCZĄCE PRZEDMIARU I OBMIARU ROBÓT</w:t>
      </w:r>
    </w:p>
    <w:p w14:paraId="126AE10B" w14:textId="1B8EFBAE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7.1. Ogólne zasady przedmiaru i obmiaru podano w ST „Wymagania ogólne”</w:t>
      </w:r>
      <w:r w:rsidR="005014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CPV 45000000-7, pkt 7</w:t>
      </w:r>
    </w:p>
    <w:p w14:paraId="29482A08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7.2. Szczegółowe zasady obmiaru robót tynkowych</w:t>
      </w:r>
    </w:p>
    <w:p w14:paraId="04ACF8E4" w14:textId="1A9E5F99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lastRenderedPageBreak/>
        <w:t>Powierzchnię tynków wewnętrznych ścian oblicza się w metrach kwadratowych jako iloczyn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długości ścian w stanie surowym i wysokości mierzonej od podłoża lub warstwy wyrównawczej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na stropie do spodu stropu nad pomieszczeniem.</w:t>
      </w:r>
    </w:p>
    <w:p w14:paraId="6D4280CD" w14:textId="6792B492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Powierzchnię tynków stropów płaskich oblicza się w metrach kwadratowych ich rzutu w świetle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ścian surowych na płaszczyznę poziomą.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Powierzchnię stropów żebrowych i kasetonowych oblicza się w rozwinięciu według wymiarów 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stanie surowym.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Powierzchnię tynków zewnętrznych ścian oblicza się jako iloczyn długości ścian w rozwinięciu 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stanie surowym i wysokości mierzonej od wierzchu cokołu lub terenu do górnej krawędzi ściany,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dolnej krawędzi gzymsu lub górnej krawędzi tynku, jeżeli ściana jest tynkowana tylko do pewnej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wysokości.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Powierzchnię pilastrów, słupów i innych elementów oblicza się w rozwinięciu tych elementów w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stanie surowym.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 powierzchni tynków nie potrąca się powierzchni nieotynkowanych, ciągnionych, okładzin,</w:t>
      </w:r>
    </w:p>
    <w:p w14:paraId="1D7A6473" w14:textId="334DA419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obróbek kamiennych, kratek, drzwiczek i innych, jeżeli każda z nich jest mniejsza od 0,5 m2. Przy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potrącaniu powierzchni otworów okiennych i drzwiowych, do powierzchni tynków ścian, należy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doliczyć powierzchnię ościeży w stanie surowym.</w:t>
      </w:r>
    </w:p>
    <w:p w14:paraId="7B6C4D4A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 SPOSÓB ODBIORU ROBÓT</w:t>
      </w:r>
    </w:p>
    <w:p w14:paraId="56D6C542" w14:textId="590B56D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8.1. Ogólne zasady odbioru robót podano w ST „Wymagania ogólne” Kod CPV</w:t>
      </w:r>
      <w:r w:rsidR="005014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8</w:t>
      </w:r>
    </w:p>
    <w:p w14:paraId="085A4F0B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8.2. Odbiór robót zanikających i ulegających zakryciu</w:t>
      </w:r>
    </w:p>
    <w:p w14:paraId="67193136" w14:textId="1C31042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Przy robotach tynkowych elementami ulegającymi zakryciu są podłoża.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Odbiór podłoży musi być dokonany przed rozpoczęciem nakładania wyprawy (odbiór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międzyoperacyjny).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trakcie odbioru należy przeprowadzić badania wymienione w pkt. 6.2.2. niniejszej specyfikacji.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Wyniki badań dla podłoży należy porównać z wymaganiami określonymi w dokumentacji</w:t>
      </w:r>
    </w:p>
    <w:p w14:paraId="73E0444E" w14:textId="4F2DFF5B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projektowej i w pkt. 5.3. niniejszej specyfikacji.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Jeżeli wszystkie pomiary i badania dały wynik pozytywny można uznać, że podłoża zostały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prawidłowo przygotowane, tj. zgodnie z dokumentacją projektową oraz specyfikacją techniczną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(szczegółową) i zezwolić na przystąpienie do nakładania wyprawy.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Jeżeli chociaż jeden wynik badania jest negatywny przygotowanie podłoża nie powinno być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odebrane. W takim przypadku należy ustalić zakres prac i rodzaje materiałów koniecznych do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usunięcia nieprawidłowości. Po wykonaniu ustalonego zakresu prac należy ponownie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przeprowadzić ocenę przygotowania podłoża.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Wszystkie ustalenia związane z dokonanym odbiorem robót ulegających zakryciu należy zapisać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 dzienniku budowy lub protokole podpisanym przez przedstawicieli inwestora (inspektor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nadzoru) i wykonawcy (kierownik budowy).</w:t>
      </w:r>
    </w:p>
    <w:p w14:paraId="595D9B13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8.3. Odbiór częściowy</w:t>
      </w:r>
    </w:p>
    <w:p w14:paraId="34FF353E" w14:textId="16A79B80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Odbiór częściowy polega na ocenie ilości i jakości wykonanej części robót. Odbioru częściowego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robót dokonuje się dla zakresu określonego w dokumentach umownych, według zasad jak przy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odbiorze ostatecznym robót.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Celem odbioru częściowego jest wczesne wykrycie ewentualnych usterek w realizowanych</w:t>
      </w:r>
      <w:r w:rsidR="005014D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robotach i ich usunięcie przed odbiorem końcowym.</w:t>
      </w:r>
    </w:p>
    <w:p w14:paraId="600B6409" w14:textId="1C1B8424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Odbiór częściowy robót jest dokonywany przez inspektora nadzoru w obecności kierownika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budowy.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Protokół odbioru częściowego jest podstawą do dokonania częściowego rozliczenia robót (</w:t>
      </w:r>
      <w:r w:rsidRPr="003E2A4E">
        <w:rPr>
          <w:rFonts w:ascii="Times New Roman" w:hAnsi="Times New Roman" w:cs="Times New Roman"/>
          <w:i/>
          <w:iCs/>
          <w:color w:val="000000"/>
          <w:sz w:val="20"/>
          <w:szCs w:val="20"/>
        </w:rPr>
        <w:t>jeżeli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i/>
          <w:iCs/>
          <w:color w:val="000000"/>
          <w:sz w:val="20"/>
          <w:szCs w:val="20"/>
        </w:rPr>
        <w:t>umowa taką formę przewiduje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14:paraId="3009A694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8.4. Odbiór ostateczny (końcowy)</w:t>
      </w:r>
    </w:p>
    <w:p w14:paraId="0D6B8B0F" w14:textId="077732D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Odbiór końcowy stanowi ostateczną ocenę rzeczywistego wykonania robót w odniesieniu do ich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zakresu (ilości), jakości i zgodności z dokumentacją projektową.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Odbiór ostateczny przeprowadza komisja powołana przez zamawiającego, na podstawie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przedłożonych dokumentów, wyników badań oraz dokonanej oceny wizualnej.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Zasady i terminy powoływania komisji oraz czas jej działania powinna określać umowa.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Wykonawca robót obowiązany jest przedłożyć komisji następujące dokumenty:</w:t>
      </w:r>
    </w:p>
    <w:p w14:paraId="71C271EC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dokumentację projektową z naniesionymi zmianami dokonanymi w toku wykonywania robót,</w:t>
      </w:r>
    </w:p>
    <w:p w14:paraId="566EF91B" w14:textId="50861EE9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szczegółowe specyfikacje techniczne ze zmianami wprowadzonymi w trakcie wykonywania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robót,</w:t>
      </w:r>
    </w:p>
    <w:p w14:paraId="04967FF9" w14:textId="348642E2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dziennik budowy i książki obmiarów z zapisami dokonywanymi w toku prowadzonych robót,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protokoły kontroli spisywane w trakcie wykonywania prac,</w:t>
      </w:r>
    </w:p>
    <w:p w14:paraId="5DC646FF" w14:textId="034C49A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dokumenty świadczące o dopuszczeniu do obrotu i powszechnego zastosowania użytych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materiałów i wyrobów budowlanych,</w:t>
      </w:r>
    </w:p>
    <w:p w14:paraId="1A9E988E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protokoły odbiorów robót ulegających zakryciu i odbiorów częściowych,</w:t>
      </w:r>
    </w:p>
    <w:p w14:paraId="514F32FC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instrukcje producenta mieszanki tynkarskiej,</w:t>
      </w:r>
    </w:p>
    <w:p w14:paraId="6663DE9D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wyniki badań laboratoryjnych i ekspertyz.</w:t>
      </w:r>
    </w:p>
    <w:p w14:paraId="49A7B7E9" w14:textId="494E136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 toku odbioru komisja obowiązana jest zapoznać się z przedłożonymi dokumentami,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przeprowadzić badania zgodnie z wytycznymi podanymi w pkt. 6.4 niniejszej ST, porównać je z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wymaganiami podanymi w dokumentacji projektowej i niniejszej (szczegółowej) specyfikacji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technicznej robót tynkarskich, opracowanej dla odbieranego przedmiotu zamówienia, oraz</w:t>
      </w:r>
    </w:p>
    <w:p w14:paraId="31CBB338" w14:textId="76623B60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dokonać oceny wizualnej.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Tynki zwykłe wewnętrzne i zewnętrzne powinny być odebrane, jeżeli wszystkie wyniki badań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są pozytywne, a dostarczone przez wykonawcę dokumenty są kompletne i prawidłowe pod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względem merytorycznym.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Jeżeli chociażby jeden wynik badań był negatywny tynki nie powinny być odebrane. W takim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przypadku należy wybrać jedno z następujących rozwiązań:</w:t>
      </w:r>
    </w:p>
    <w:p w14:paraId="683118FA" w14:textId="234ACC75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jeżeli to możliwe należy ustalić zakres prac korygujących, usunąć nieprawidłowości wykonania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tynków w stosunku do wymagań określonych w dokumentacji projektowej i niniejszej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specyfikacji technicznej (szczegółowej) i przedstawić je ponownie do odbioru,</w:t>
      </w:r>
    </w:p>
    <w:p w14:paraId="4F1DEC7E" w14:textId="7815A7E4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jeżeli odchylenia od wymagań nie zagrażają bezpieczeństwu użytkownika i trwałości tynku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zamawiający może wyrazić zgodę na dokonanie odbioru końcowego z jednoczesnym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obniżeniem wartości wynagrodzenia w stosunku do ustaleń umownych,</w:t>
      </w:r>
    </w:p>
    <w:p w14:paraId="75EB0AE9" w14:textId="587C327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w przypadku, gdy nie są możliwe podane wyżej rozwiązania wykonawca zobowiązany jest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usunąć wadliwie wykonany tynk, wykonać go ponownie i powtórnie zgłosić do odbioru.</w:t>
      </w:r>
    </w:p>
    <w:p w14:paraId="550E80B5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 przypadku niekompletności dokumentów odbiór może być dokonany po ich uzupełnieniu.</w:t>
      </w:r>
    </w:p>
    <w:p w14:paraId="669835D5" w14:textId="198600B1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Z czynności odbioru sporządza się protokół podpisany przez przedstawicieli zamawiającego 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wykonawcy. Protokół powinien zawierać:</w:t>
      </w:r>
    </w:p>
    <w:p w14:paraId="78562CE1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ustalenia podjęte w trakcie prac komisji,</w:t>
      </w:r>
    </w:p>
    <w:p w14:paraId="354F0A22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ocenę wyników badań,</w:t>
      </w:r>
    </w:p>
    <w:p w14:paraId="34449DA2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wykaz wad i usterek ze wskazaniem sposobu ich usunięcia,</w:t>
      </w:r>
    </w:p>
    <w:p w14:paraId="47601D2D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stwierdzenie zgodności lub niezgodności wykonania tynku zwykłego z zamówieniem.</w:t>
      </w:r>
    </w:p>
    <w:p w14:paraId="7F3CE21A" w14:textId="63E6050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Protokół odbioru końcowego jest podstawą do dokonania rozliczenia końcowego pomiędzy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zamawiającym a wykonawcą.</w:t>
      </w:r>
    </w:p>
    <w:p w14:paraId="5DBB0232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8.5. Odbiór po upływie okresu rękojmi i gwarancji</w:t>
      </w:r>
    </w:p>
    <w:p w14:paraId="1EC8FAA1" w14:textId="5589DD62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lastRenderedPageBreak/>
        <w:t>Celem odbioru po okresie rękojmi i gwarancji jest ocena stanu tynku zwykłego po użytkowaniu w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tym okresie oraz ocena wykonywanych w tym okresie ewentualnych robót poprawkowych,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związanych z usuwaniem zgłoszonych wad.</w:t>
      </w:r>
    </w:p>
    <w:p w14:paraId="046AA691" w14:textId="79B7782F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Odbiór po upływie okresu rękojmi i gwarancji jest dokonywany na podstawie oceny wizualnej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tynku zwykłego, z uwzględnieniem zasad opisanych w pkt. 8.4. „Odbiór ostateczny (końcowy)”.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Pozytywny wynik odbioru pogwarancyjnego jest podstawą do zwrotu kaucji gwarancyjnej,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negatywny do ewentualnego dokonania potrąceń wynikających z obniżonej jakości robót.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Przed upływem okresu gwarancyjnego zamawiający powinien zgłosić wykonawcy wszystkie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zauważone wady w wykonanych robotach tynkowych.</w:t>
      </w:r>
    </w:p>
    <w:p w14:paraId="21D9AE57" w14:textId="768FD928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ROZLICZENIA ROBÓT PODSTAWOWYCH, TYMCZASOWYCH I PRAC</w:t>
      </w:r>
      <w:r w:rsidR="001346B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TOWARZYSZĄCYCH</w:t>
      </w:r>
    </w:p>
    <w:p w14:paraId="65328C1F" w14:textId="7299543F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9.1. Ogólne ustalenia dotyczące podstawy rozliczenia robót podano w ST</w:t>
      </w:r>
      <w:r w:rsidR="001346B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„Wymagania ogólne” Kod CPV 45000000-7, pkt 9</w:t>
      </w:r>
    </w:p>
    <w:p w14:paraId="5F3666F0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9.2. Zasady rozliczenia i płatności</w:t>
      </w:r>
    </w:p>
    <w:p w14:paraId="00F0D326" w14:textId="453CD863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Rozliczenie robót tynkowych może być dokonane jednorazowo po wykonaniu pełnego zakresu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robót i ich końcowym odbiorze lub etapami określonymi w umowie, po dokonaniu odbiorów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częściowych robót.</w:t>
      </w:r>
    </w:p>
    <w:p w14:paraId="225EAF4C" w14:textId="02380714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Ostateczne rozliczenie umowy pomiędzy zamawiającym a wykonawcą następuje po dokonaniu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odbioru pogwarancyjnego.</w:t>
      </w:r>
    </w:p>
    <w:p w14:paraId="7BE8A289" w14:textId="188872AA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Podstawę rozliczenia oraz płatności wykonanego i odebranego zakresu robót tynkowych stanowi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wartość tych robót obliczona na podstawie:</w:t>
      </w:r>
    </w:p>
    <w:p w14:paraId="55488AB9" w14:textId="341DDA3B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określonych w dokumentach umownych (ofercie) cen jednostkowych i ilości robót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zaakceptowanych przez zamawiającego lub</w:t>
      </w:r>
    </w:p>
    <w:p w14:paraId="5AFEB86B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ustalonej w umowie kwoty ryczałtowej za określony zakres robót.</w:t>
      </w:r>
    </w:p>
    <w:p w14:paraId="05CF2C61" w14:textId="452AEB6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Ceny jednostkowe wykonania tynku zwykłego lub kwoty ryczałtowe obejmujące roboty</w:t>
      </w:r>
      <w:r w:rsidR="001346B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tynkowe uwzględniają:</w:t>
      </w:r>
    </w:p>
    <w:p w14:paraId="77E63E1B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przygotowanie stanowiska roboczego,</w:t>
      </w:r>
    </w:p>
    <w:p w14:paraId="56E98CD7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dostarczenie do stanowiska roboczego materiałów, narzędzi i sprzętu,</w:t>
      </w:r>
    </w:p>
    <w:p w14:paraId="58CCF7D5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obsługę sprzętu,</w:t>
      </w:r>
    </w:p>
    <w:p w14:paraId="7843A372" w14:textId="7CA96385" w:rsidR="00F40304" w:rsidRPr="003E2A4E" w:rsidRDefault="00F40304" w:rsidP="009E7544">
      <w:pPr>
        <w:autoSpaceDE w:val="0"/>
        <w:autoSpaceDN w:val="0"/>
        <w:adjustRightInd w:val="0"/>
        <w:spacing w:after="0" w:line="240" w:lineRule="auto"/>
        <w:ind w:left="-567" w:right="-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ustawienie i przestawienie drabin oraz lekkich rusztowań przestawnych umożliwiających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wykonanie robót na wysokości do 4 m,</w:t>
      </w:r>
    </w:p>
    <w:p w14:paraId="130875B2" w14:textId="0F4C671A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ocenę i przygotowanie podłoża wraz z ewentualnym jego zagruntowaniem bądź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zastosowaniem odpowiednich środków zwiększających przyczepność, zgodnie z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wymaganiami dokumentacji projektowej i szczegółowej specyfikacji technicznej,</w:t>
      </w:r>
    </w:p>
    <w:p w14:paraId="4F428A1B" w14:textId="2B22A2A8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zabezpieczenie stolarki okiennej i drzwiowej oraz innych elementów przed zanieczyszczeniem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i uszkodzeniem w trakcie wykonywania tynków,</w:t>
      </w:r>
    </w:p>
    <w:p w14:paraId="46B916EF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osiatkowanie bruzd i miejsc narażonych na pęknięcia,</w:t>
      </w:r>
    </w:p>
    <w:p w14:paraId="68411E18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umocowanie profili tynkarskich,</w:t>
      </w:r>
    </w:p>
    <w:p w14:paraId="252C7CAD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osadzenie kratek wentylacyjnych i innych drobnych elementów,</w:t>
      </w:r>
    </w:p>
    <w:p w14:paraId="36B7B949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usunięcie wad i usterek oraz naprawienie uszkodzeń powstałych w czasie robót tynkowych,</w:t>
      </w:r>
    </w:p>
    <w:p w14:paraId="1CC6B021" w14:textId="69F2D09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usunięcie zabezpieczeń stolarki i innych elementów oraz ewentualnych zanieczyszczeń na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elementach nie tynkowanych,</w:t>
      </w:r>
    </w:p>
    <w:p w14:paraId="0D5FA44E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uporządkowanie miejsca wykonywania robót,</w:t>
      </w:r>
    </w:p>
    <w:p w14:paraId="0878A8AA" w14:textId="606748C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usunięcie pozostałości, resztek i odpadów materiałów w sposób podany w szczegółowej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specyfikacji technicznej (opisać sposób usunięcia pozostałości i odpadów),</w:t>
      </w:r>
    </w:p>
    <w:p w14:paraId="17EB2713" w14:textId="77777777" w:rsidR="00F40304" w:rsidRPr="003E2A4E" w:rsidRDefault="00F40304" w:rsidP="009E7544">
      <w:pPr>
        <w:autoSpaceDE w:val="0"/>
        <w:autoSpaceDN w:val="0"/>
        <w:adjustRightInd w:val="0"/>
        <w:spacing w:after="0" w:line="240" w:lineRule="auto"/>
        <w:ind w:left="-567" w:right="-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– likwidację stanowiska roboczego.</w:t>
      </w:r>
    </w:p>
    <w:p w14:paraId="3D9677A6" w14:textId="179C85F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W kwotach ryczałtowych ujęte są również koszty montażu, demontażu i pracy rusztowań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niezbędnych do wykonania robót pokrywczych na wysokości ponad 4 m od poziomu ich</w:t>
      </w:r>
    </w:p>
    <w:p w14:paraId="4A86E7F1" w14:textId="4CBAE482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ustawienia.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Rozliczenie robót tynkowych według uzgodnionych cen jednostkowych może by wariantowe:</w:t>
      </w:r>
    </w:p>
    <w:p w14:paraId="36E61DEA" w14:textId="16AE4C29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Ceny jednostkowe robót </w:t>
      </w: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obejmują również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koszty montażu, demontażu i pracy rusztowań oraz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koszty pomostów i barier zabezpieczających.</w:t>
      </w:r>
    </w:p>
    <w:p w14:paraId="351664DD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 DOKUMENTY ODNIESIENIA</w:t>
      </w:r>
    </w:p>
    <w:p w14:paraId="3728375F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10.1. Normy</w:t>
      </w:r>
    </w:p>
    <w:p w14:paraId="123CF010" w14:textId="4A0EA48E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1. PN-70/B-10100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Roboty tynkowe. Tynki zwykłe. Wymagania i badania przy odbiorze (Norma wycofana bez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zastąpienia).</w:t>
      </w:r>
    </w:p>
    <w:p w14:paraId="0CAE696B" w14:textId="57217219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2. PN-90/B-14501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Zaprawy budowlane zwykłe (Norma wycofana bez zastąpienia).</w:t>
      </w:r>
    </w:p>
    <w:p w14:paraId="4B128089" w14:textId="10141F52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3. PN-EN 1015-2:2000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Metody badań zapraw do murów – Pobieranie i przygotowanie próbek zapraw do badań.</w:t>
      </w:r>
    </w:p>
    <w:p w14:paraId="02F08386" w14:textId="47E91A06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4. PN-EN 1015-2:2000/A1:2007 (u)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62781C7F" w14:textId="163BE04C" w:rsidR="00F40304" w:rsidRPr="003E2A4E" w:rsidRDefault="00F40304" w:rsidP="009E7544">
      <w:pPr>
        <w:autoSpaceDE w:val="0"/>
        <w:autoSpaceDN w:val="0"/>
        <w:adjustRightInd w:val="0"/>
        <w:spacing w:after="0" w:line="240" w:lineRule="auto"/>
        <w:ind w:left="-567" w:right="-113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5. PN-EN 1015-3:2000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konsystencji świeżej zaprawy (za pomocą stolik</w:t>
      </w:r>
      <w:r w:rsidR="009E754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rozpływu).</w:t>
      </w:r>
    </w:p>
    <w:p w14:paraId="13467490" w14:textId="7F158F3F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6. PN-EN 1015-3:2000/A1:2005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421D6EB3" w14:textId="22F05B4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7. PN-EN 1015-4:2000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konsystencji świeżej zaprawy (za pomocą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penetrometru).</w:t>
      </w:r>
    </w:p>
    <w:p w14:paraId="1106951C" w14:textId="4CF8AD79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8. PN-EN 1015-12:2002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Metody badań zapraw do murów – Część 12: Określenie przyczepności do podłoża</w:t>
      </w:r>
    </w:p>
    <w:p w14:paraId="4493054D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stwardniałych zapraw na obrzutkę i do tynkowania.</w:t>
      </w:r>
    </w:p>
    <w:p w14:paraId="2C13E12E" w14:textId="2B7BC731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9. PN-EN 1015-19:2000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Metody badań zapraw do murów – Określenie współczynnika przenoszenia pary wodnej w</w:t>
      </w:r>
    </w:p>
    <w:p w14:paraId="11B26932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stwardniałych zaprawach na obrzutkę i do tynkowania.</w:t>
      </w:r>
    </w:p>
    <w:p w14:paraId="65FE505E" w14:textId="6F68766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10. PN-EN 1015-19:2000/A1:2005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4F4BDA76" w14:textId="07E1F7B9" w:rsidR="00F40304" w:rsidRPr="003E2A4E" w:rsidRDefault="00F40304" w:rsidP="009E7544">
      <w:pPr>
        <w:autoSpaceDE w:val="0"/>
        <w:autoSpaceDN w:val="0"/>
        <w:adjustRightInd w:val="0"/>
        <w:spacing w:after="0" w:line="240" w:lineRule="auto"/>
        <w:ind w:left="-567" w:right="-113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11. PN-EN 197-1:2002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Cement – Część 1: Skład, wymagania i kryteria zgodności dotyczące cementów powszechnego</w:t>
      </w:r>
      <w:r w:rsidR="009E754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użytku.</w:t>
      </w:r>
    </w:p>
    <w:p w14:paraId="673734AE" w14:textId="770CBE76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12. PN-EN 197-1:2002/A1:2005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2FA50554" w14:textId="27D7D575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13. PN-EN 197-2:2002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Cement – Część 2: Ocena zgodności.</w:t>
      </w:r>
    </w:p>
    <w:p w14:paraId="2FB90E92" w14:textId="7E7331AB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14. PN-EN 459-1:2003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Wapno budowlane – Część 1: Definicje, wymagania i kryteria zgodności.</w:t>
      </w:r>
    </w:p>
    <w:p w14:paraId="27B6BD2A" w14:textId="1893A2E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15. PN-EN 459-2:2003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Wapno budowlane – Część 2: Metody badań.</w:t>
      </w:r>
    </w:p>
    <w:p w14:paraId="5E5F021D" w14:textId="2A802BB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16. PN-EN 459-3:2003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Wapno budowlane – Część 3: Ocena zgodności.</w:t>
      </w:r>
    </w:p>
    <w:p w14:paraId="496307F7" w14:textId="7B01C4E0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17. PN-EN 1008-1:2004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Woda zarobowa do betonu. Specyfikacja pobierania próbek, badanie i ocena przydatności wody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zarobowej do betonu, w tym wody odzyskanej z procesów produkcji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betonu.</w:t>
      </w:r>
    </w:p>
    <w:p w14:paraId="264E189A" w14:textId="6A3F55A5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lastRenderedPageBreak/>
        <w:t>18. PN-EN 934-6:2002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 – Część 6: Pobieranie próbek, kontrola zgodności 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ocena zgodności.</w:t>
      </w:r>
    </w:p>
    <w:p w14:paraId="6E131156" w14:textId="2A42479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19. PN-EN 934-6:2002/A1:2006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7AA897FD" w14:textId="4C2C226B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20. PN-B-30041:1997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Spoiwa gipsowe – Gips budowlany.</w:t>
      </w:r>
    </w:p>
    <w:p w14:paraId="78AA4C5A" w14:textId="025CE7F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21. PN-B-30042:1997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Spoiwa gipsowe – Gips szpachlowy, gips tynkarski i klej gipsowy.</w:t>
      </w:r>
    </w:p>
    <w:p w14:paraId="0A4ACC72" w14:textId="49AAF6C0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22. PN-B-30042:1997/Az1:2006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62BBE85A" w14:textId="428F7AAE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23. PN-92/B-01302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Gips, anhydryt i wyroby gipsowe – Terminologia.</w:t>
      </w:r>
    </w:p>
    <w:p w14:paraId="358F70B3" w14:textId="7364BB0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24. PN-EN 13139:2003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Kruszywa do zaprawy.</w:t>
      </w:r>
    </w:p>
    <w:p w14:paraId="5DF31364" w14:textId="20C2001C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25. PN-EN 13139:2003/AC:2004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jw.</w:t>
      </w:r>
    </w:p>
    <w:p w14:paraId="513BC39C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10.2. Ustawy</w:t>
      </w:r>
    </w:p>
    <w:p w14:paraId="7CCC212B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Ustawa z dnia 16 kwietnia 2004 r. o wyrobach budowlanych (Dz. U. z 2004 r. Nr 92, poz. 881).</w:t>
      </w:r>
    </w:p>
    <w:p w14:paraId="223576F4" w14:textId="69057005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Ustawa z dnia 30 sierpnia 2002 r. o systemie oceny zgodności (tekst jednolity Dz. U. z 2004 r. Nr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 xml:space="preserve">204, poz. 2087 z </w:t>
      </w:r>
      <w:proofErr w:type="spellStart"/>
      <w:r w:rsidRPr="003E2A4E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3E2A4E">
        <w:rPr>
          <w:rFonts w:ascii="Times New Roman" w:hAnsi="Times New Roman" w:cs="Times New Roman"/>
          <w:color w:val="000000"/>
          <w:sz w:val="20"/>
          <w:szCs w:val="20"/>
        </w:rPr>
        <w:t>. zmianami).</w:t>
      </w:r>
    </w:p>
    <w:p w14:paraId="2F708DA9" w14:textId="0092D7B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Ustawa z dnia 7 lipca 1994 r. Prawo budowlane (tekst jednolity Dz. U. z 2006 r. Nr 156, poz.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1118).</w:t>
      </w:r>
    </w:p>
    <w:p w14:paraId="0BF74F02" w14:textId="77777777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10.3. Rozporządzenia</w:t>
      </w:r>
    </w:p>
    <w:p w14:paraId="6E2C1D4B" w14:textId="359B061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Rozporządzenie Ministra Infrastruktury z dnia 02.09.2004 r. w sprawie szczegółowego zakresu 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formy dokumentacji projektowej, specyfikacji technicznych wykonania i odbioru robót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budowlanych oraz programu funkcjonalno-użytkowego (Dz. U. z 2004 r. Nr 202, poz. 2072,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zmiana Dz. U. z 2005 r. Nr 75, poz. 664).</w:t>
      </w:r>
    </w:p>
    <w:p w14:paraId="3C1AF42B" w14:textId="004E272D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Rozporządzenie Ministra Infrastruktury z dnia 03.07.2003 r. w sprawie szczegółowego zakresu 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formy projektu budowlanego (Dz. U. z 2003 r. Nr 120, poz. 1133).</w:t>
      </w:r>
    </w:p>
    <w:p w14:paraId="09A35FC4" w14:textId="34EB788B" w:rsidR="00F40304" w:rsidRPr="003E2A4E" w:rsidRDefault="00F40304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Rozporządzenie Ministra Infrastruktury z dnia 26.06.2002 r. w sprawie dziennika budowy,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montażu i rozbiórki, tablicy informacyjnej oraz ogłoszenia zawierającego dane dotyczące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bezpieczeństwa pracy i ochrony zdrowia (Dz. U. z 2002 r. Nr 108, poz. 953 z późniejszymi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color w:val="000000"/>
          <w:sz w:val="20"/>
          <w:szCs w:val="20"/>
        </w:rPr>
        <w:t>zmianami).</w:t>
      </w:r>
    </w:p>
    <w:p w14:paraId="4631ADAF" w14:textId="14C4182B" w:rsidR="003E2A4E" w:rsidRPr="001346BE" w:rsidRDefault="00F40304" w:rsidP="001346BE">
      <w:pPr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E2A4E">
        <w:rPr>
          <w:rFonts w:ascii="Times New Roman" w:hAnsi="Times New Roman" w:cs="Times New Roman"/>
          <w:color w:val="000000"/>
          <w:sz w:val="20"/>
          <w:szCs w:val="20"/>
        </w:rPr>
        <w:t>Rozporządzenie Ministra Infrastruktury z dnia 11 sierpnia 2004 r. w sprawie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E2A4E" w:rsidRPr="003E2A4E">
        <w:rPr>
          <w:rFonts w:ascii="Times New Roman" w:hAnsi="Times New Roman" w:cs="Times New Roman"/>
          <w:sz w:val="20"/>
          <w:szCs w:val="20"/>
        </w:rPr>
        <w:t>deklarowania zgodności wyrobów budowlanych oraz sposobu znakowania ich znakiem</w:t>
      </w:r>
      <w:r w:rsidR="001346B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E2A4E" w:rsidRPr="003E2A4E">
        <w:rPr>
          <w:rFonts w:ascii="Times New Roman" w:hAnsi="Times New Roman" w:cs="Times New Roman"/>
          <w:sz w:val="20"/>
          <w:szCs w:val="20"/>
        </w:rPr>
        <w:t xml:space="preserve">budowlanym (Dz. U. z 2004 r. Nr 198, poz. 2041 z </w:t>
      </w:r>
      <w:proofErr w:type="spellStart"/>
      <w:r w:rsidR="003E2A4E" w:rsidRPr="003E2A4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3E2A4E" w:rsidRPr="003E2A4E">
        <w:rPr>
          <w:rFonts w:ascii="Times New Roman" w:hAnsi="Times New Roman" w:cs="Times New Roman"/>
          <w:sz w:val="20"/>
          <w:szCs w:val="20"/>
        </w:rPr>
        <w:t>. zmianami).</w:t>
      </w:r>
    </w:p>
    <w:p w14:paraId="77244312" w14:textId="0991E6EB" w:rsidR="003E2A4E" w:rsidRPr="003E2A4E" w:rsidRDefault="003E2A4E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3E2A4E">
        <w:rPr>
          <w:rFonts w:ascii="Times New Roman" w:hAnsi="Times New Roman" w:cs="Times New Roman"/>
          <w:sz w:val="20"/>
          <w:szCs w:val="20"/>
        </w:rPr>
        <w:t>Rozporządzenie Ministra Infrastruktury z dnia 12 kwietnia 2002 r. w sprawie warunków</w:t>
      </w:r>
      <w:r w:rsidR="001346BE">
        <w:rPr>
          <w:rFonts w:ascii="Times New Roman" w:hAnsi="Times New Roman" w:cs="Times New Roman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sz w:val="20"/>
          <w:szCs w:val="20"/>
        </w:rPr>
        <w:t>technicznych, jakim powinny odpowiadać budynki i ich usytuowanie (Dz. U. z 2002 r. Nr 75, poz.</w:t>
      </w:r>
      <w:r w:rsidR="001346BE">
        <w:rPr>
          <w:rFonts w:ascii="Times New Roman" w:hAnsi="Times New Roman" w:cs="Times New Roman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sz w:val="20"/>
          <w:szCs w:val="20"/>
        </w:rPr>
        <w:t xml:space="preserve">690 z </w:t>
      </w:r>
      <w:proofErr w:type="spellStart"/>
      <w:r w:rsidRPr="003E2A4E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3E2A4E">
        <w:rPr>
          <w:rFonts w:ascii="Times New Roman" w:hAnsi="Times New Roman" w:cs="Times New Roman"/>
          <w:sz w:val="20"/>
          <w:szCs w:val="20"/>
        </w:rPr>
        <w:t>. zmianami).</w:t>
      </w:r>
    </w:p>
    <w:p w14:paraId="452E00AD" w14:textId="77777777" w:rsidR="003E2A4E" w:rsidRPr="003E2A4E" w:rsidRDefault="003E2A4E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2A4E">
        <w:rPr>
          <w:rFonts w:ascii="Times New Roman" w:hAnsi="Times New Roman" w:cs="Times New Roman"/>
          <w:b/>
          <w:bCs/>
          <w:sz w:val="20"/>
          <w:szCs w:val="20"/>
        </w:rPr>
        <w:t>10.4. Inne dokumenty i instrukcje</w:t>
      </w:r>
    </w:p>
    <w:p w14:paraId="64C4C78E" w14:textId="07951BEB" w:rsidR="003E2A4E" w:rsidRPr="003E2A4E" w:rsidRDefault="003E2A4E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3E2A4E">
        <w:rPr>
          <w:rFonts w:ascii="Times New Roman" w:hAnsi="Times New Roman" w:cs="Times New Roman"/>
          <w:sz w:val="20"/>
          <w:szCs w:val="20"/>
        </w:rPr>
        <w:t>Specyfikacja techniczna wykonania i odbioru robót budowlanych – Wymagania ogólne Kod CPV</w:t>
      </w:r>
      <w:r w:rsidR="001346BE">
        <w:rPr>
          <w:rFonts w:ascii="Times New Roman" w:hAnsi="Times New Roman" w:cs="Times New Roman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sz w:val="20"/>
          <w:szCs w:val="20"/>
        </w:rPr>
        <w:t>45000000-7, wydanie II OWEOB Promocja – 2005 rok.</w:t>
      </w:r>
      <w:r w:rsidR="001346BE">
        <w:rPr>
          <w:rFonts w:ascii="Times New Roman" w:hAnsi="Times New Roman" w:cs="Times New Roman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sz w:val="20"/>
          <w:szCs w:val="20"/>
        </w:rPr>
        <w:t>Warunki techniczne wykonania i odbioru robót budowlanych, Część B – Roboty wykończeniowe,</w:t>
      </w:r>
    </w:p>
    <w:p w14:paraId="6C2889A5" w14:textId="77777777" w:rsidR="003E2A4E" w:rsidRPr="003E2A4E" w:rsidRDefault="003E2A4E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3E2A4E">
        <w:rPr>
          <w:rFonts w:ascii="Times New Roman" w:hAnsi="Times New Roman" w:cs="Times New Roman"/>
          <w:sz w:val="20"/>
          <w:szCs w:val="20"/>
        </w:rPr>
        <w:t>zeszyt 1 „Tynki”, wydanie ITB – 2003 rok.</w:t>
      </w:r>
    </w:p>
    <w:p w14:paraId="1F3678D1" w14:textId="46CE25F1" w:rsidR="003E2A4E" w:rsidRPr="003E2A4E" w:rsidRDefault="003E2A4E" w:rsidP="003E2A4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3E2A4E">
        <w:rPr>
          <w:rFonts w:ascii="Times New Roman" w:hAnsi="Times New Roman" w:cs="Times New Roman"/>
          <w:sz w:val="20"/>
          <w:szCs w:val="20"/>
        </w:rPr>
        <w:t>Warunki techniczne wykonania i odbioru robót budowlanych tom 1 część 4, wydanie Arkady –</w:t>
      </w:r>
      <w:r w:rsidR="001346BE">
        <w:rPr>
          <w:rFonts w:ascii="Times New Roman" w:hAnsi="Times New Roman" w:cs="Times New Roman"/>
          <w:sz w:val="20"/>
          <w:szCs w:val="20"/>
        </w:rPr>
        <w:t xml:space="preserve"> </w:t>
      </w:r>
      <w:r w:rsidRPr="003E2A4E">
        <w:rPr>
          <w:rFonts w:ascii="Times New Roman" w:hAnsi="Times New Roman" w:cs="Times New Roman"/>
          <w:sz w:val="20"/>
          <w:szCs w:val="20"/>
        </w:rPr>
        <w:t>1990 rok.</w:t>
      </w:r>
    </w:p>
    <w:p w14:paraId="07C5B0D0" w14:textId="77777777" w:rsidR="003E2A4E" w:rsidRPr="003E2A4E" w:rsidRDefault="003E2A4E" w:rsidP="003E2A4E">
      <w:pPr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3E2A4E">
        <w:rPr>
          <w:rFonts w:ascii="Times New Roman" w:hAnsi="Times New Roman" w:cs="Times New Roman"/>
          <w:sz w:val="20"/>
          <w:szCs w:val="20"/>
        </w:rPr>
        <w:t>Atlas Budowlany, miesięcznik, wydanie specjalne 1998 rok.</w:t>
      </w:r>
    </w:p>
    <w:sectPr w:rsidR="003E2A4E" w:rsidRPr="003E2A4E" w:rsidSect="00502A6B">
      <w:footerReference w:type="default" r:id="rId7"/>
      <w:pgSz w:w="11906" w:h="16838"/>
      <w:pgMar w:top="851" w:right="1417" w:bottom="993" w:left="1417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F6E4" w14:textId="77777777" w:rsidR="00BB666C" w:rsidRDefault="00BB666C" w:rsidP="00C97A91">
      <w:pPr>
        <w:spacing w:after="0" w:line="240" w:lineRule="auto"/>
      </w:pPr>
      <w:r>
        <w:separator/>
      </w:r>
    </w:p>
  </w:endnote>
  <w:endnote w:type="continuationSeparator" w:id="0">
    <w:p w14:paraId="62119ACB" w14:textId="77777777" w:rsidR="00BB666C" w:rsidRDefault="00BB666C" w:rsidP="00C9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9439805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561E3719" w14:textId="77777777" w:rsidR="005014D4" w:rsidRPr="00C97A91" w:rsidRDefault="005014D4">
        <w:pPr>
          <w:pStyle w:val="Stopka"/>
          <w:jc w:val="right"/>
          <w:rPr>
            <w:color w:val="808080" w:themeColor="background1" w:themeShade="80"/>
          </w:rPr>
        </w:pPr>
        <w:r w:rsidRPr="00C97A91">
          <w:rPr>
            <w:color w:val="808080" w:themeColor="background1" w:themeShade="80"/>
          </w:rPr>
          <w:fldChar w:fldCharType="begin"/>
        </w:r>
        <w:r w:rsidRPr="00C97A91">
          <w:rPr>
            <w:color w:val="808080" w:themeColor="background1" w:themeShade="80"/>
          </w:rPr>
          <w:instrText>PAGE   \* MERGEFORMAT</w:instrText>
        </w:r>
        <w:r w:rsidRPr="00C97A91">
          <w:rPr>
            <w:color w:val="808080" w:themeColor="background1" w:themeShade="80"/>
          </w:rPr>
          <w:fldChar w:fldCharType="separate"/>
        </w:r>
        <w:r w:rsidRPr="00C97A91">
          <w:rPr>
            <w:color w:val="808080" w:themeColor="background1" w:themeShade="80"/>
          </w:rPr>
          <w:t>2</w:t>
        </w:r>
        <w:r w:rsidRPr="00C97A91">
          <w:rPr>
            <w:color w:val="808080" w:themeColor="background1" w:themeShade="80"/>
          </w:rPr>
          <w:fldChar w:fldCharType="end"/>
        </w:r>
      </w:p>
    </w:sdtContent>
  </w:sdt>
  <w:p w14:paraId="6034ABAC" w14:textId="77777777" w:rsidR="005014D4" w:rsidRDefault="005014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B175C" w14:textId="77777777" w:rsidR="00BB666C" w:rsidRDefault="00BB666C" w:rsidP="00C97A91">
      <w:pPr>
        <w:spacing w:after="0" w:line="240" w:lineRule="auto"/>
      </w:pPr>
      <w:r>
        <w:separator/>
      </w:r>
    </w:p>
  </w:footnote>
  <w:footnote w:type="continuationSeparator" w:id="0">
    <w:p w14:paraId="5AE958E7" w14:textId="77777777" w:rsidR="00BB666C" w:rsidRDefault="00BB666C" w:rsidP="00C97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797181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B0"/>
    <w:rsid w:val="00052C7C"/>
    <w:rsid w:val="001346BE"/>
    <w:rsid w:val="00230005"/>
    <w:rsid w:val="003E2A4E"/>
    <w:rsid w:val="005014D4"/>
    <w:rsid w:val="00502A6B"/>
    <w:rsid w:val="008E76CD"/>
    <w:rsid w:val="009E7544"/>
    <w:rsid w:val="00AF47B0"/>
    <w:rsid w:val="00BB666C"/>
    <w:rsid w:val="00C81D5C"/>
    <w:rsid w:val="00C97A91"/>
    <w:rsid w:val="00F4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6FB658"/>
  <w15:chartTrackingRefBased/>
  <w15:docId w15:val="{AEDA12DC-11EF-42AA-B25B-4B5A80DE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7A91"/>
  </w:style>
  <w:style w:type="paragraph" w:styleId="Stopka">
    <w:name w:val="footer"/>
    <w:basedOn w:val="Normalny"/>
    <w:link w:val="StopkaZnak"/>
    <w:uiPriority w:val="99"/>
    <w:unhideWhenUsed/>
    <w:rsid w:val="00C9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A91"/>
  </w:style>
  <w:style w:type="paragraph" w:styleId="Akapitzlist">
    <w:name w:val="List Paragraph"/>
    <w:basedOn w:val="Normalny"/>
    <w:uiPriority w:val="34"/>
    <w:qFormat/>
    <w:rsid w:val="00501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4774</Words>
  <Characters>28646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2022-06-14T07:45:00Z</cp:lastPrinted>
  <dcterms:created xsi:type="dcterms:W3CDTF">2023-09-13T06:42:00Z</dcterms:created>
  <dcterms:modified xsi:type="dcterms:W3CDTF">2023-09-13T06:42:00Z</dcterms:modified>
</cp:coreProperties>
</file>